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1446" w14:textId="77777777" w:rsidR="00431B74" w:rsidRPr="00327E74" w:rsidRDefault="00431B74" w:rsidP="00431B74">
      <w:pPr>
        <w:rPr>
          <w:rFonts w:ascii="Verdana" w:hAnsi="Verdana"/>
          <w:b/>
          <w:sz w:val="20"/>
          <w:lang w:val="en-US"/>
        </w:rPr>
      </w:pPr>
      <w:r w:rsidRPr="00327E74">
        <w:rPr>
          <w:rFonts w:ascii="Verdana" w:hAnsi="Verdana"/>
          <w:b/>
          <w:sz w:val="20"/>
          <w:lang w:val="en-US"/>
        </w:rPr>
        <w:t>Unum Group California Employee Privacy Notice (“Privacy Notice”)</w:t>
      </w:r>
    </w:p>
    <w:p w14:paraId="5DE19952" w14:textId="77777777" w:rsidR="00431B74" w:rsidRPr="00327E74" w:rsidRDefault="00431B74" w:rsidP="00431B74">
      <w:pPr>
        <w:rPr>
          <w:rFonts w:ascii="Verdana" w:hAnsi="Verdana"/>
          <w:sz w:val="20"/>
          <w:lang w:val="en-US"/>
        </w:rPr>
      </w:pPr>
    </w:p>
    <w:p w14:paraId="32C3BB1A" w14:textId="77777777" w:rsidR="00431B74" w:rsidRDefault="00431B74" w:rsidP="00431B74">
      <w:pPr>
        <w:rPr>
          <w:rFonts w:ascii="Verdana" w:hAnsi="Verdana"/>
          <w:sz w:val="20"/>
          <w:lang w:val="en-US"/>
        </w:rPr>
      </w:pPr>
      <w:r w:rsidRPr="00327E74">
        <w:rPr>
          <w:rFonts w:ascii="Verdana" w:hAnsi="Verdana"/>
          <w:sz w:val="20"/>
          <w:lang w:val="en-US"/>
        </w:rPr>
        <w:t xml:space="preserve">Unum Group (“Unum,” “we” or “company”) adopts this Privacy Notice to comply with the requirements of the California Consumer Privacy Act of 2018 (CCPA) to provide notice to you regarding the personal information we collect about you for employment-related purposes.  Any terms defined in the CCPA have the same meaning when used in this Privacy Notice.   </w:t>
      </w:r>
    </w:p>
    <w:p w14:paraId="19EDA5E5" w14:textId="77777777" w:rsidR="00431B74" w:rsidRDefault="00431B74" w:rsidP="00431B74">
      <w:pPr>
        <w:rPr>
          <w:rFonts w:ascii="Verdana" w:hAnsi="Verdana"/>
          <w:sz w:val="20"/>
          <w:lang w:val="en-US"/>
        </w:rPr>
      </w:pPr>
    </w:p>
    <w:p w14:paraId="4D0206AD" w14:textId="77777777" w:rsidR="00431B74" w:rsidRDefault="00431B74" w:rsidP="00431B74">
      <w:pPr>
        <w:rPr>
          <w:rFonts w:ascii="Verdana" w:hAnsi="Verdana"/>
          <w:sz w:val="20"/>
          <w:lang w:val="en-US"/>
        </w:rPr>
      </w:pPr>
      <w:r w:rsidRPr="00327E74">
        <w:rPr>
          <w:rFonts w:ascii="Verdana" w:hAnsi="Verdana"/>
          <w:sz w:val="20"/>
          <w:lang w:val="en-US"/>
        </w:rPr>
        <w:t xml:space="preserve">This Privacy Notice supplements the information in Unum’s Online and Offline Privacy Notice and applies solely to natural persons acting as job applicants, employees, temporary workers or contractors who reside in the State of California (“consumers” or “you”).  </w:t>
      </w:r>
    </w:p>
    <w:p w14:paraId="61C6F56F" w14:textId="77777777" w:rsidR="00431B74" w:rsidRDefault="00431B74" w:rsidP="00431B74">
      <w:pPr>
        <w:rPr>
          <w:rFonts w:ascii="Verdana" w:hAnsi="Verdana"/>
          <w:sz w:val="20"/>
          <w:lang w:val="en-US"/>
        </w:rPr>
      </w:pPr>
    </w:p>
    <w:p w14:paraId="28C29451" w14:textId="77777777" w:rsidR="00431B74" w:rsidRDefault="00431B74" w:rsidP="00431B74">
      <w:pPr>
        <w:rPr>
          <w:rFonts w:ascii="Verdana" w:hAnsi="Verdana"/>
          <w:sz w:val="20"/>
          <w:lang w:val="en-US"/>
        </w:rPr>
      </w:pPr>
    </w:p>
    <w:p w14:paraId="4BC0BDF8" w14:textId="77777777" w:rsidR="00431B74" w:rsidRPr="00327E74" w:rsidRDefault="00431B74" w:rsidP="00431B74">
      <w:pPr>
        <w:rPr>
          <w:rFonts w:ascii="Verdana" w:hAnsi="Verdana"/>
          <w:b/>
          <w:sz w:val="20"/>
          <w:lang w:val="en-US"/>
        </w:rPr>
      </w:pPr>
      <w:r w:rsidRPr="00327E74">
        <w:rPr>
          <w:rFonts w:ascii="Verdana" w:hAnsi="Verdana"/>
          <w:b/>
          <w:sz w:val="20"/>
          <w:lang w:val="en-US"/>
        </w:rPr>
        <w:t xml:space="preserve">Information We Collect </w:t>
      </w:r>
    </w:p>
    <w:p w14:paraId="3C44A511" w14:textId="77777777" w:rsidR="00431B74" w:rsidRDefault="00431B74" w:rsidP="00431B74">
      <w:pPr>
        <w:rPr>
          <w:rFonts w:ascii="Verdana" w:hAnsi="Verdana"/>
          <w:sz w:val="20"/>
          <w:lang w:val="en-US"/>
        </w:rPr>
      </w:pPr>
    </w:p>
    <w:p w14:paraId="307D4C14" w14:textId="77777777" w:rsidR="00431B74" w:rsidRDefault="00431B74" w:rsidP="00431B74">
      <w:pPr>
        <w:rPr>
          <w:rFonts w:ascii="Verdana" w:hAnsi="Verdana"/>
          <w:sz w:val="20"/>
          <w:lang w:val="en-US"/>
        </w:rPr>
      </w:pPr>
      <w:r w:rsidRPr="00327E74">
        <w:rPr>
          <w:rFonts w:ascii="Verdana" w:hAnsi="Verdana"/>
          <w:sz w:val="20"/>
          <w:lang w:val="en-US"/>
        </w:rPr>
        <w:t xml:space="preserve">Unum collects and processes </w:t>
      </w:r>
      <w:r>
        <w:rPr>
          <w:rFonts w:ascii="Verdana" w:hAnsi="Verdana"/>
          <w:sz w:val="20"/>
          <w:lang w:val="en-US"/>
        </w:rPr>
        <w:t xml:space="preserve">personal information about you for employment-related purposes, including for job applications.   </w:t>
      </w:r>
    </w:p>
    <w:p w14:paraId="51DC5901" w14:textId="77777777" w:rsidR="00431B74" w:rsidRDefault="00431B74" w:rsidP="00431B74">
      <w:pPr>
        <w:rPr>
          <w:rFonts w:ascii="Verdana" w:hAnsi="Verdana"/>
          <w:sz w:val="20"/>
          <w:lang w:val="en-US"/>
        </w:rPr>
      </w:pPr>
    </w:p>
    <w:p w14:paraId="0D4F6EFB" w14:textId="77777777" w:rsidR="00431B74" w:rsidRDefault="00431B74" w:rsidP="00431B74">
      <w:pPr>
        <w:rPr>
          <w:rFonts w:ascii="Verdana" w:hAnsi="Verdana"/>
          <w:sz w:val="20"/>
          <w:lang w:val="en-US"/>
        </w:rPr>
      </w:pPr>
      <w:r>
        <w:rPr>
          <w:rFonts w:ascii="Verdana" w:hAnsi="Verdana"/>
          <w:sz w:val="20"/>
          <w:lang w:val="en-US"/>
        </w:rPr>
        <w:t>The employment related information we may collect about you includes the following:</w:t>
      </w:r>
    </w:p>
    <w:p w14:paraId="3B615113" w14:textId="77777777" w:rsidR="00431B74" w:rsidRDefault="00431B74" w:rsidP="00431B74">
      <w:pPr>
        <w:widowControl w:val="0"/>
        <w:autoSpaceDE w:val="0"/>
        <w:autoSpaceDN w:val="0"/>
        <w:adjustRightInd w:val="0"/>
        <w:spacing w:before="180"/>
        <w:rPr>
          <w:rFonts w:ascii="Arial" w:hAnsi="Arial" w:cs="Arial"/>
          <w:color w:val="000000"/>
          <w:sz w:val="18"/>
          <w:szCs w:val="18"/>
        </w:rPr>
      </w:pPr>
    </w:p>
    <w:tbl>
      <w:tblPr>
        <w:tblW w:w="9053" w:type="dxa"/>
        <w:tblInd w:w="27" w:type="dxa"/>
        <w:tblLayout w:type="fixed"/>
        <w:tblCellMar>
          <w:left w:w="0" w:type="dxa"/>
          <w:right w:w="0" w:type="dxa"/>
        </w:tblCellMar>
        <w:tblLook w:val="0000" w:firstRow="0" w:lastRow="0" w:firstColumn="0" w:lastColumn="0" w:noHBand="0" w:noVBand="0"/>
      </w:tblPr>
      <w:tblGrid>
        <w:gridCol w:w="2020"/>
        <w:gridCol w:w="7033"/>
      </w:tblGrid>
      <w:tr w:rsidR="00431B74" w14:paraId="05B2CF9C" w14:textId="77777777" w:rsidTr="00BC4E91">
        <w:tc>
          <w:tcPr>
            <w:tcW w:w="2020" w:type="dxa"/>
            <w:tcBorders>
              <w:top w:val="single" w:sz="8" w:space="0" w:color="CCCCCC"/>
              <w:left w:val="single" w:sz="8" w:space="0" w:color="CCCCCC"/>
              <w:bottom w:val="single" w:sz="8" w:space="0" w:color="CCCCCC"/>
              <w:right w:val="single" w:sz="8" w:space="0" w:color="CCCCCC"/>
            </w:tcBorders>
            <w:tcMar>
              <w:left w:w="27" w:type="dxa"/>
              <w:right w:w="27" w:type="dxa"/>
            </w:tcMar>
          </w:tcPr>
          <w:p w14:paraId="1F702118" w14:textId="77777777" w:rsidR="00431B74" w:rsidRDefault="00431B74" w:rsidP="00BC4E91">
            <w:pPr>
              <w:widowControl w:val="0"/>
              <w:autoSpaceDE w:val="0"/>
              <w:autoSpaceDN w:val="0"/>
              <w:adjustRightInd w:val="0"/>
              <w:spacing w:after="18"/>
              <w:ind w:left="27" w:right="47"/>
              <w:jc w:val="center"/>
              <w:rPr>
                <w:rFonts w:ascii="Arial" w:hAnsi="Arial" w:cs="Arial"/>
                <w:b/>
                <w:bCs/>
                <w:color w:val="000000"/>
                <w:sz w:val="18"/>
                <w:szCs w:val="18"/>
              </w:rPr>
            </w:pPr>
            <w:r>
              <w:rPr>
                <w:rFonts w:ascii="Arial" w:hAnsi="Arial" w:cs="Arial"/>
                <w:b/>
                <w:bCs/>
                <w:color w:val="000000"/>
                <w:sz w:val="18"/>
                <w:szCs w:val="18"/>
              </w:rPr>
              <w:t>Category</w:t>
            </w:r>
          </w:p>
          <w:p w14:paraId="2BB24B5E" w14:textId="77777777" w:rsidR="00431B74" w:rsidRDefault="00431B74" w:rsidP="00BC4E91">
            <w:pPr>
              <w:widowControl w:val="0"/>
              <w:autoSpaceDE w:val="0"/>
              <w:autoSpaceDN w:val="0"/>
              <w:adjustRightInd w:val="0"/>
              <w:spacing w:after="18"/>
              <w:ind w:left="27" w:right="47"/>
              <w:jc w:val="center"/>
              <w:rPr>
                <w:rFonts w:ascii="Arial" w:hAnsi="Arial" w:cs="Arial"/>
                <w:b/>
                <w:bCs/>
                <w:color w:val="000000"/>
                <w:sz w:val="18"/>
                <w:szCs w:val="18"/>
              </w:rPr>
            </w:pPr>
          </w:p>
        </w:tc>
        <w:tc>
          <w:tcPr>
            <w:tcW w:w="7033" w:type="dxa"/>
            <w:tcBorders>
              <w:top w:val="single" w:sz="8" w:space="0" w:color="CCCCCC"/>
              <w:left w:val="nil"/>
              <w:bottom w:val="single" w:sz="8" w:space="0" w:color="CCCCCC"/>
              <w:right w:val="single" w:sz="8" w:space="0" w:color="CCCCCC"/>
            </w:tcBorders>
            <w:tcMar>
              <w:left w:w="27" w:type="dxa"/>
              <w:right w:w="27" w:type="dxa"/>
            </w:tcMar>
          </w:tcPr>
          <w:p w14:paraId="72023115" w14:textId="77777777" w:rsidR="00431B74" w:rsidRDefault="00431B74" w:rsidP="00BC4E91">
            <w:pPr>
              <w:widowControl w:val="0"/>
              <w:autoSpaceDE w:val="0"/>
              <w:autoSpaceDN w:val="0"/>
              <w:adjustRightInd w:val="0"/>
              <w:spacing w:after="18"/>
              <w:ind w:left="27" w:right="47"/>
              <w:jc w:val="center"/>
              <w:rPr>
                <w:rFonts w:ascii="Arial" w:hAnsi="Arial" w:cs="Arial"/>
                <w:b/>
                <w:bCs/>
                <w:color w:val="000000"/>
                <w:sz w:val="18"/>
                <w:szCs w:val="18"/>
              </w:rPr>
            </w:pPr>
            <w:r>
              <w:rPr>
                <w:rFonts w:ascii="Arial" w:hAnsi="Arial" w:cs="Arial"/>
                <w:b/>
                <w:bCs/>
                <w:color w:val="000000"/>
                <w:sz w:val="18"/>
                <w:szCs w:val="18"/>
              </w:rPr>
              <w:t>Examples</w:t>
            </w:r>
          </w:p>
          <w:p w14:paraId="5921EDF6" w14:textId="77777777" w:rsidR="00431B74" w:rsidRDefault="00431B74" w:rsidP="00BC4E91">
            <w:pPr>
              <w:widowControl w:val="0"/>
              <w:autoSpaceDE w:val="0"/>
              <w:autoSpaceDN w:val="0"/>
              <w:adjustRightInd w:val="0"/>
              <w:spacing w:after="18"/>
              <w:ind w:left="27" w:right="47"/>
              <w:jc w:val="center"/>
              <w:rPr>
                <w:rFonts w:ascii="Arial" w:hAnsi="Arial" w:cs="Arial"/>
                <w:b/>
                <w:bCs/>
                <w:color w:val="000000"/>
                <w:sz w:val="18"/>
                <w:szCs w:val="18"/>
              </w:rPr>
            </w:pPr>
          </w:p>
        </w:tc>
      </w:tr>
      <w:tr w:rsidR="00431B74" w14:paraId="1D2EE205"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37D353F6"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A. Identifiers.</w:t>
            </w:r>
          </w:p>
          <w:p w14:paraId="4148D85D"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22A13304"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A real name, postal address, unique personal identifier, email address, account name, Social Security number</w:t>
            </w:r>
          </w:p>
        </w:tc>
      </w:tr>
      <w:tr w:rsidR="00431B74" w14:paraId="66B6BF36"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2AA18AD2"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B. Personal information categories listed in the California Customer Records statute (Cal. Civ. Code § 1798.80(e)).</w:t>
            </w:r>
          </w:p>
          <w:p w14:paraId="12576C30"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3EDE355E"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A name, signature, Social Security number, physical characteristics or description, address, telephone number, education, employment, employment history, Date of Birth, gender</w:t>
            </w:r>
          </w:p>
          <w:p w14:paraId="6DB23F5F"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p w14:paraId="6A3612C0"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Some personal information included in this category may overlap with other categories.</w:t>
            </w:r>
          </w:p>
          <w:p w14:paraId="377A37AD"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r w:rsidR="00431B74" w14:paraId="2B3BE508"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0BD272E1"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C. Protected classification characteristics under California or federal law.</w:t>
            </w:r>
          </w:p>
          <w:p w14:paraId="238DE9AC"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164A2D59"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 xml:space="preserve">Age (40 years or older), race, </w:t>
            </w:r>
            <w:proofErr w:type="spellStart"/>
            <w:r>
              <w:rPr>
                <w:rFonts w:ascii="Arial" w:hAnsi="Arial" w:cs="Arial"/>
                <w:color w:val="000000"/>
                <w:sz w:val="18"/>
                <w:szCs w:val="18"/>
              </w:rPr>
              <w:t>color</w:t>
            </w:r>
            <w:proofErr w:type="spellEnd"/>
            <w:r>
              <w:rPr>
                <w:rFonts w:ascii="Arial" w:hAnsi="Arial" w:cs="Arial"/>
                <w:color w:val="000000"/>
                <w:sz w:val="18"/>
                <w:szCs w:val="18"/>
              </w:rPr>
              <w:t>, ancestry, national origin, sex (including gender, gender identity, gender expression, pregnancy or childbirth and related medical conditions), veteran or military status</w:t>
            </w:r>
          </w:p>
          <w:p w14:paraId="36BA7C36"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r w:rsidR="00431B74" w14:paraId="7F960BEC"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33CE2D56"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D. Commercial information.</w:t>
            </w:r>
          </w:p>
          <w:p w14:paraId="07AE1662"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3C9D74C9"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r w:rsidR="00431B74" w14:paraId="7F0040E9"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3A5452D2"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E. Biometric information.</w:t>
            </w:r>
          </w:p>
          <w:p w14:paraId="4FFA2651"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4A9CDE12"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Face recognition and Voice recognition for certain applicants</w:t>
            </w:r>
          </w:p>
        </w:tc>
      </w:tr>
      <w:tr w:rsidR="00431B74" w14:paraId="51F688A7"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47C72BD2"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 xml:space="preserve">F. Internet or </w:t>
            </w:r>
            <w:proofErr w:type="gramStart"/>
            <w:r>
              <w:rPr>
                <w:rFonts w:ascii="Arial" w:hAnsi="Arial" w:cs="Arial"/>
                <w:color w:val="000000"/>
                <w:sz w:val="18"/>
                <w:szCs w:val="18"/>
              </w:rPr>
              <w:t>other</w:t>
            </w:r>
            <w:proofErr w:type="gramEnd"/>
            <w:r>
              <w:rPr>
                <w:rFonts w:ascii="Arial" w:hAnsi="Arial" w:cs="Arial"/>
                <w:color w:val="000000"/>
                <w:sz w:val="18"/>
                <w:szCs w:val="18"/>
              </w:rPr>
              <w:t xml:space="preserve"> similar network activity.</w:t>
            </w:r>
          </w:p>
          <w:p w14:paraId="3EE8F6D3"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0A51C6D6"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Consumer’s interaction with an application and history on the application website</w:t>
            </w:r>
          </w:p>
          <w:p w14:paraId="7E45AC79"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r w:rsidR="00431B74" w14:paraId="759B2E76"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79E561AE"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G. Geolocation data.</w:t>
            </w:r>
          </w:p>
          <w:p w14:paraId="6FE14971"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30CB705C"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p w14:paraId="07A23A17"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r w:rsidR="00431B74" w14:paraId="2660D75C"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5D526837"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H. Sensory data.</w:t>
            </w:r>
          </w:p>
          <w:p w14:paraId="3D74EFDB"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4A227149"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r w:rsidR="00431B74" w14:paraId="2DFC2EF0"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6C32B617"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I. Professional or employment-related information.</w:t>
            </w:r>
          </w:p>
          <w:p w14:paraId="7080901B"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0F25507A"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lastRenderedPageBreak/>
              <w:t>Current or past job history, education, languages, training history, etc.</w:t>
            </w:r>
          </w:p>
          <w:p w14:paraId="258D04C1"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r w:rsidR="00431B74" w14:paraId="6F8C60A5"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3EA18A53"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J. Non-public education information (per the Family Educational Rights and Privacy Act (20 U.S.C. Section 1232g, 34 C.F.R. Part 99)).</w:t>
            </w:r>
          </w:p>
          <w:p w14:paraId="56446386"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18AAEF90"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Education records directly related to a student maintained by an educational institution or party acting on its behalf, such as grades and education history.</w:t>
            </w:r>
          </w:p>
          <w:p w14:paraId="70B51FA8"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r w:rsidR="00431B74" w14:paraId="6EB12179" w14:textId="77777777" w:rsidTr="00BC4E91">
        <w:tc>
          <w:tcPr>
            <w:tcW w:w="2020" w:type="dxa"/>
            <w:tcBorders>
              <w:top w:val="nil"/>
              <w:left w:val="single" w:sz="8" w:space="0" w:color="CCCCCC"/>
              <w:bottom w:val="single" w:sz="8" w:space="0" w:color="CCCCCC"/>
              <w:right w:val="single" w:sz="8" w:space="0" w:color="CCCCCC"/>
            </w:tcBorders>
            <w:tcMar>
              <w:left w:w="27" w:type="dxa"/>
              <w:right w:w="27" w:type="dxa"/>
            </w:tcMar>
          </w:tcPr>
          <w:p w14:paraId="77649A71"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K. Inferences drawn from other personal information.</w:t>
            </w:r>
          </w:p>
          <w:p w14:paraId="6985CEAB"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c>
          <w:tcPr>
            <w:tcW w:w="7033" w:type="dxa"/>
            <w:tcBorders>
              <w:top w:val="nil"/>
              <w:left w:val="nil"/>
              <w:bottom w:val="single" w:sz="8" w:space="0" w:color="CCCCCC"/>
              <w:right w:val="single" w:sz="8" w:space="0" w:color="CCCCCC"/>
            </w:tcBorders>
            <w:tcMar>
              <w:left w:w="27" w:type="dxa"/>
              <w:right w:w="27" w:type="dxa"/>
            </w:tcMar>
          </w:tcPr>
          <w:p w14:paraId="4D566C6F"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r>
              <w:rPr>
                <w:rFonts w:ascii="Arial" w:hAnsi="Arial" w:cs="Arial"/>
                <w:color w:val="000000"/>
                <w:sz w:val="18"/>
                <w:szCs w:val="18"/>
              </w:rPr>
              <w:t xml:space="preserve">Profile reflecting a person’s preferences, characteristics, psychological trends, predispositions, </w:t>
            </w:r>
            <w:proofErr w:type="spellStart"/>
            <w:r>
              <w:rPr>
                <w:rFonts w:ascii="Arial" w:hAnsi="Arial" w:cs="Arial"/>
                <w:color w:val="000000"/>
                <w:sz w:val="18"/>
                <w:szCs w:val="18"/>
              </w:rPr>
              <w:t>behavior</w:t>
            </w:r>
            <w:proofErr w:type="spellEnd"/>
            <w:r>
              <w:rPr>
                <w:rFonts w:ascii="Arial" w:hAnsi="Arial" w:cs="Arial"/>
                <w:color w:val="000000"/>
                <w:sz w:val="18"/>
                <w:szCs w:val="18"/>
              </w:rPr>
              <w:t>, attitudes, intelligence, abilities, and aptitudes.</w:t>
            </w:r>
          </w:p>
          <w:p w14:paraId="078AB0E6" w14:textId="77777777" w:rsidR="00431B74" w:rsidRDefault="00431B74" w:rsidP="00BC4E91">
            <w:pPr>
              <w:widowControl w:val="0"/>
              <w:autoSpaceDE w:val="0"/>
              <w:autoSpaceDN w:val="0"/>
              <w:adjustRightInd w:val="0"/>
              <w:spacing w:after="18"/>
              <w:ind w:left="27" w:right="47"/>
              <w:rPr>
                <w:rFonts w:ascii="Arial" w:hAnsi="Arial" w:cs="Arial"/>
                <w:color w:val="000000"/>
                <w:sz w:val="18"/>
                <w:szCs w:val="18"/>
              </w:rPr>
            </w:pPr>
          </w:p>
        </w:tc>
      </w:tr>
    </w:tbl>
    <w:p w14:paraId="1C5E0875" w14:textId="77777777" w:rsidR="00431B74" w:rsidRDefault="00431B74" w:rsidP="00431B74">
      <w:pPr>
        <w:widowControl w:val="0"/>
        <w:autoSpaceDE w:val="0"/>
        <w:autoSpaceDN w:val="0"/>
        <w:adjustRightInd w:val="0"/>
        <w:jc w:val="both"/>
        <w:rPr>
          <w:rFonts w:ascii="Arial" w:hAnsi="Arial" w:cs="Arial"/>
          <w:color w:val="000000"/>
          <w:sz w:val="18"/>
          <w:szCs w:val="18"/>
        </w:rPr>
      </w:pPr>
    </w:p>
    <w:p w14:paraId="5E7740C0" w14:textId="77777777" w:rsidR="00431B74" w:rsidRDefault="00431B74" w:rsidP="00431B74">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w:t>
      </w:r>
      <w:r>
        <w:rPr>
          <w:rFonts w:ascii="Arial" w:hAnsi="Arial" w:cs="Arial"/>
          <w:color w:val="CCCCCC"/>
          <w:position w:val="4"/>
          <w:sz w:val="30"/>
          <w:szCs w:val="30"/>
          <w:u w:val="thick"/>
        </w:rPr>
        <w:t xml:space="preserve">                                                                                                                                       </w:t>
      </w:r>
    </w:p>
    <w:p w14:paraId="1FFBF432" w14:textId="77777777" w:rsidR="00431B74" w:rsidRDefault="00431B74" w:rsidP="00431B74">
      <w:pPr>
        <w:rPr>
          <w:rFonts w:ascii="Verdana" w:hAnsi="Verdana"/>
          <w:sz w:val="20"/>
          <w:lang w:val="en-US"/>
        </w:rPr>
      </w:pPr>
      <w:r>
        <w:rPr>
          <w:rFonts w:ascii="Verdana" w:hAnsi="Verdana"/>
          <w:sz w:val="20"/>
          <w:lang w:val="en-US"/>
        </w:rPr>
        <w:t>For purposes of this notice, personal information does not include:</w:t>
      </w:r>
    </w:p>
    <w:p w14:paraId="1FD3F1F7" w14:textId="77777777" w:rsidR="00431B74" w:rsidRPr="007907D0" w:rsidRDefault="00431B74" w:rsidP="00431B74">
      <w:pPr>
        <w:pStyle w:val="ListParagraph"/>
        <w:numPr>
          <w:ilvl w:val="0"/>
          <w:numId w:val="5"/>
        </w:numPr>
        <w:rPr>
          <w:rFonts w:ascii="Verdana" w:hAnsi="Verdana"/>
          <w:sz w:val="20"/>
          <w:lang w:val="en-US"/>
        </w:rPr>
      </w:pPr>
      <w:r w:rsidRPr="007907D0">
        <w:rPr>
          <w:rFonts w:ascii="Verdana" w:hAnsi="Verdana"/>
          <w:sz w:val="20"/>
          <w:lang w:val="en-US"/>
        </w:rPr>
        <w:t>Publicly available information from government records;</w:t>
      </w:r>
    </w:p>
    <w:p w14:paraId="20F6555E" w14:textId="77777777" w:rsidR="00431B74" w:rsidRPr="007907D0" w:rsidRDefault="00431B74" w:rsidP="00431B74">
      <w:pPr>
        <w:pStyle w:val="ListParagraph"/>
        <w:numPr>
          <w:ilvl w:val="0"/>
          <w:numId w:val="5"/>
        </w:numPr>
        <w:rPr>
          <w:rFonts w:ascii="Verdana" w:hAnsi="Verdana"/>
          <w:sz w:val="20"/>
          <w:lang w:val="en-US"/>
        </w:rPr>
      </w:pPr>
      <w:r w:rsidRPr="007907D0">
        <w:rPr>
          <w:rFonts w:ascii="Verdana" w:hAnsi="Verdana"/>
          <w:sz w:val="20"/>
          <w:lang w:val="en-US"/>
        </w:rPr>
        <w:t>Deidentified or aggregated consumer information;</w:t>
      </w:r>
    </w:p>
    <w:p w14:paraId="2535B950" w14:textId="77777777" w:rsidR="00431B74" w:rsidRPr="007907D0" w:rsidRDefault="00431B74" w:rsidP="00431B74">
      <w:pPr>
        <w:pStyle w:val="ListParagraph"/>
        <w:numPr>
          <w:ilvl w:val="0"/>
          <w:numId w:val="5"/>
        </w:numPr>
        <w:rPr>
          <w:rFonts w:ascii="Verdana" w:hAnsi="Verdana"/>
          <w:sz w:val="20"/>
          <w:lang w:val="en-US"/>
        </w:rPr>
      </w:pPr>
      <w:r w:rsidRPr="007907D0">
        <w:rPr>
          <w:rFonts w:ascii="Verdana" w:hAnsi="Verdana"/>
          <w:sz w:val="20"/>
          <w:lang w:val="en-US"/>
        </w:rPr>
        <w:t>Information excluded from the CCPA’s scope, such as:</w:t>
      </w:r>
    </w:p>
    <w:p w14:paraId="1912F474" w14:textId="77777777" w:rsidR="00431B74" w:rsidRPr="007907D0" w:rsidRDefault="00431B74" w:rsidP="00431B74">
      <w:pPr>
        <w:pStyle w:val="ListParagraph"/>
        <w:numPr>
          <w:ilvl w:val="0"/>
          <w:numId w:val="5"/>
        </w:numPr>
        <w:rPr>
          <w:rFonts w:ascii="Verdana" w:hAnsi="Verdana"/>
          <w:sz w:val="20"/>
          <w:lang w:val="en-US"/>
        </w:rPr>
      </w:pPr>
      <w:r w:rsidRPr="007907D0">
        <w:rPr>
          <w:rFonts w:ascii="Verdana" w:hAnsi="Verdana"/>
          <w:sz w:val="20"/>
          <w:lang w:val="en-US"/>
        </w:rPr>
        <w:t>Health or medical information covered by the Health Insurance Portability and Accountability Act of 1996 (HIPAA) and the California Confidentiality of Medical Information Act (CNIA); or</w:t>
      </w:r>
    </w:p>
    <w:p w14:paraId="0738B713" w14:textId="77777777" w:rsidR="00431B74" w:rsidRPr="007907D0" w:rsidRDefault="00431B74" w:rsidP="00431B74">
      <w:pPr>
        <w:pStyle w:val="ListParagraph"/>
        <w:numPr>
          <w:ilvl w:val="0"/>
          <w:numId w:val="5"/>
        </w:numPr>
        <w:rPr>
          <w:rFonts w:ascii="Verdana" w:hAnsi="Verdana"/>
          <w:sz w:val="20"/>
          <w:lang w:val="en-US"/>
        </w:rPr>
      </w:pPr>
      <w:r w:rsidRPr="007907D0">
        <w:rPr>
          <w:rFonts w:ascii="Verdana" w:hAnsi="Verdana"/>
          <w:sz w:val="20"/>
          <w:lang w:val="en-US"/>
        </w:rPr>
        <w:t xml:space="preserve">Personal information covered by certain sector-specific laws, including the Fair Credit Reporting Act (FCRA), the Gramm-Leach Bliley Act (GLBA) or California Financial Information Privacy Act (FIPA), and the Driver’s Privacy Protection Act of 1994.  </w:t>
      </w:r>
    </w:p>
    <w:p w14:paraId="25D3F878" w14:textId="77777777" w:rsidR="00431B74" w:rsidRDefault="00431B74" w:rsidP="00431B74">
      <w:pPr>
        <w:widowControl w:val="0"/>
        <w:autoSpaceDE w:val="0"/>
        <w:autoSpaceDN w:val="0"/>
        <w:adjustRightInd w:val="0"/>
        <w:rPr>
          <w:rFonts w:ascii="Arial" w:hAnsi="Arial" w:cs="Arial"/>
          <w:color w:val="000000"/>
          <w:sz w:val="18"/>
          <w:szCs w:val="18"/>
        </w:rPr>
      </w:pPr>
    </w:p>
    <w:p w14:paraId="4FEFDFA5" w14:textId="77777777" w:rsidR="00431B74" w:rsidRDefault="00431B74" w:rsidP="00431B74">
      <w:pPr>
        <w:widowControl w:val="0"/>
        <w:autoSpaceDE w:val="0"/>
        <w:autoSpaceDN w:val="0"/>
        <w:adjustRightInd w:val="0"/>
        <w:rPr>
          <w:rFonts w:ascii="Arial" w:hAnsi="Arial" w:cs="Arial"/>
          <w:color w:val="000000"/>
          <w:sz w:val="18"/>
          <w:szCs w:val="18"/>
        </w:rPr>
      </w:pPr>
    </w:p>
    <w:p w14:paraId="4063A4CB" w14:textId="77777777" w:rsidR="00431B74" w:rsidRDefault="00431B74" w:rsidP="00431B74">
      <w:pPr>
        <w:widowControl w:val="0"/>
        <w:autoSpaceDE w:val="0"/>
        <w:autoSpaceDN w:val="0"/>
        <w:adjustRightInd w:val="0"/>
        <w:rPr>
          <w:rFonts w:ascii="Arial" w:hAnsi="Arial" w:cs="Arial"/>
          <w:color w:val="000000"/>
          <w:sz w:val="18"/>
          <w:szCs w:val="18"/>
        </w:rPr>
      </w:pPr>
    </w:p>
    <w:p w14:paraId="49B5D025" w14:textId="77777777" w:rsidR="00431B74" w:rsidRPr="00F33C90" w:rsidRDefault="00431B74" w:rsidP="00431B74">
      <w:pPr>
        <w:widowControl w:val="0"/>
        <w:autoSpaceDE w:val="0"/>
        <w:autoSpaceDN w:val="0"/>
        <w:adjustRightInd w:val="0"/>
        <w:rPr>
          <w:rFonts w:ascii="Verdana" w:hAnsi="Verdana" w:cs="Arial"/>
          <w:color w:val="000000"/>
          <w:sz w:val="20"/>
        </w:rPr>
      </w:pPr>
      <w:r w:rsidRPr="00F33C90">
        <w:rPr>
          <w:rFonts w:ascii="Verdana" w:hAnsi="Verdana" w:cs="Arial"/>
          <w:color w:val="000000"/>
          <w:sz w:val="20"/>
        </w:rPr>
        <w:t>We obtain the categories of personal information listed above from the following categories of sources:</w:t>
      </w:r>
    </w:p>
    <w:p w14:paraId="5EFEF175" w14:textId="77777777" w:rsidR="00431B74" w:rsidRPr="00F33C90" w:rsidRDefault="00431B74" w:rsidP="00431B74">
      <w:pPr>
        <w:widowControl w:val="0"/>
        <w:numPr>
          <w:ilvl w:val="0"/>
          <w:numId w:val="6"/>
        </w:numPr>
        <w:autoSpaceDE w:val="0"/>
        <w:autoSpaceDN w:val="0"/>
        <w:adjustRightInd w:val="0"/>
        <w:spacing w:before="160" w:after="180"/>
        <w:ind w:left="480" w:hanging="360"/>
        <w:rPr>
          <w:rFonts w:ascii="Verdana" w:hAnsi="Verdana" w:cs="Arial"/>
          <w:color w:val="000000"/>
          <w:sz w:val="20"/>
        </w:rPr>
      </w:pPr>
      <w:r w:rsidRPr="00F33C90">
        <w:rPr>
          <w:rFonts w:ascii="Verdana" w:hAnsi="Verdana" w:cs="Arial"/>
          <w:color w:val="000000"/>
          <w:sz w:val="20"/>
        </w:rPr>
        <w:t>Directly from you. For example, from forms you complete or other information you provide to us.</w:t>
      </w:r>
    </w:p>
    <w:p w14:paraId="7582036C" w14:textId="77777777" w:rsidR="00431B74" w:rsidRPr="00F33C90" w:rsidRDefault="00431B74" w:rsidP="00431B74">
      <w:pPr>
        <w:widowControl w:val="0"/>
        <w:numPr>
          <w:ilvl w:val="0"/>
          <w:numId w:val="7"/>
        </w:numPr>
        <w:autoSpaceDE w:val="0"/>
        <w:autoSpaceDN w:val="0"/>
        <w:adjustRightInd w:val="0"/>
        <w:spacing w:before="160" w:after="180"/>
        <w:ind w:left="480" w:hanging="360"/>
        <w:rPr>
          <w:rFonts w:ascii="Verdana" w:hAnsi="Verdana" w:cs="Arial"/>
          <w:color w:val="000000"/>
          <w:sz w:val="20"/>
        </w:rPr>
      </w:pPr>
      <w:r w:rsidRPr="00F33C90">
        <w:rPr>
          <w:rFonts w:ascii="Verdana" w:hAnsi="Verdana" w:cs="Arial"/>
          <w:color w:val="000000"/>
          <w:sz w:val="20"/>
        </w:rPr>
        <w:t>Indirectly from you. For example, from your actions on our Website</w:t>
      </w:r>
      <w:r>
        <w:rPr>
          <w:rFonts w:ascii="Verdana" w:hAnsi="Verdana" w:cs="Arial"/>
          <w:color w:val="000000"/>
          <w:sz w:val="20"/>
        </w:rPr>
        <w:t xml:space="preserve"> or from third party vendors.</w:t>
      </w:r>
    </w:p>
    <w:p w14:paraId="17CA31FC" w14:textId="77777777" w:rsidR="00431B74" w:rsidRPr="00F33C90" w:rsidRDefault="00431B74" w:rsidP="00431B74">
      <w:pPr>
        <w:widowControl w:val="0"/>
        <w:autoSpaceDE w:val="0"/>
        <w:autoSpaceDN w:val="0"/>
        <w:adjustRightInd w:val="0"/>
        <w:spacing w:before="160" w:after="180"/>
        <w:rPr>
          <w:rFonts w:ascii="Verdana" w:hAnsi="Verdana" w:cs="Arial"/>
          <w:color w:val="000000"/>
          <w:sz w:val="20"/>
        </w:rPr>
      </w:pPr>
    </w:p>
    <w:p w14:paraId="42EC4BD1" w14:textId="77777777" w:rsidR="00431B74" w:rsidRPr="00327E74" w:rsidRDefault="00431B74" w:rsidP="00431B74">
      <w:pPr>
        <w:rPr>
          <w:rFonts w:ascii="Verdana" w:hAnsi="Verdana"/>
          <w:sz w:val="20"/>
          <w:lang w:val="en-US"/>
        </w:rPr>
      </w:pPr>
    </w:p>
    <w:p w14:paraId="7E255E66" w14:textId="77777777" w:rsidR="00431B74" w:rsidRPr="00327E74" w:rsidRDefault="00431B74" w:rsidP="00431B74">
      <w:pPr>
        <w:rPr>
          <w:rFonts w:ascii="Verdana" w:hAnsi="Verdana"/>
          <w:sz w:val="20"/>
          <w:lang w:val="en-US"/>
        </w:rPr>
      </w:pPr>
      <w:r w:rsidRPr="00327E74">
        <w:rPr>
          <w:rFonts w:ascii="Verdana" w:hAnsi="Verdana"/>
          <w:sz w:val="20"/>
          <w:lang w:val="en-US"/>
        </w:rPr>
        <w:t xml:space="preserve">We collect this information in </w:t>
      </w:r>
      <w:proofErr w:type="gramStart"/>
      <w:r w:rsidRPr="00327E74">
        <w:rPr>
          <w:rFonts w:ascii="Verdana" w:hAnsi="Verdana"/>
          <w:sz w:val="20"/>
          <w:lang w:val="en-US"/>
        </w:rPr>
        <w:t>a number of</w:t>
      </w:r>
      <w:proofErr w:type="gramEnd"/>
      <w:r w:rsidRPr="00327E74">
        <w:rPr>
          <w:rFonts w:ascii="Verdana" w:hAnsi="Verdana"/>
          <w:sz w:val="20"/>
          <w:lang w:val="en-US"/>
        </w:rPr>
        <w:t xml:space="preserve"> ways including from </w:t>
      </w:r>
      <w:r>
        <w:rPr>
          <w:rFonts w:ascii="Verdana" w:hAnsi="Verdana"/>
          <w:sz w:val="20"/>
          <w:lang w:val="en-US"/>
        </w:rPr>
        <w:t>resumes and other information</w:t>
      </w:r>
      <w:r w:rsidRPr="00327E74">
        <w:rPr>
          <w:rFonts w:ascii="Verdana" w:hAnsi="Verdana"/>
          <w:sz w:val="20"/>
          <w:lang w:val="en-US"/>
        </w:rPr>
        <w:t xml:space="preserve"> provided at the time of your application</w:t>
      </w:r>
      <w:r>
        <w:rPr>
          <w:rFonts w:ascii="Verdana" w:hAnsi="Verdana"/>
          <w:sz w:val="20"/>
          <w:lang w:val="en-US"/>
        </w:rPr>
        <w:t>.</w:t>
      </w:r>
    </w:p>
    <w:p w14:paraId="7AA36836" w14:textId="77777777" w:rsidR="00431B74" w:rsidRPr="00327E74" w:rsidRDefault="00431B74" w:rsidP="00431B74">
      <w:pPr>
        <w:rPr>
          <w:rFonts w:ascii="Verdana" w:hAnsi="Verdana"/>
          <w:sz w:val="20"/>
          <w:lang w:val="en-US"/>
        </w:rPr>
      </w:pPr>
    </w:p>
    <w:p w14:paraId="69E1D4E1" w14:textId="77777777" w:rsidR="00431B74" w:rsidRPr="00327E74" w:rsidRDefault="00431B74" w:rsidP="00431B74">
      <w:pPr>
        <w:rPr>
          <w:rFonts w:ascii="Verdana" w:hAnsi="Verdana"/>
          <w:sz w:val="20"/>
          <w:lang w:val="en-US"/>
        </w:rPr>
      </w:pPr>
      <w:r w:rsidRPr="00327E74">
        <w:rPr>
          <w:rFonts w:ascii="Verdana" w:hAnsi="Verdana"/>
          <w:sz w:val="20"/>
          <w:lang w:val="en-US"/>
        </w:rPr>
        <w:t xml:space="preserve">We will also receive personal data about you from third parties, such as references supplied by previous employers, information from </w:t>
      </w:r>
      <w:commentRangeStart w:id="0"/>
      <w:commentRangeEnd w:id="0"/>
      <w:r>
        <w:rPr>
          <w:rFonts w:ascii="Verdana" w:hAnsi="Verdana"/>
          <w:sz w:val="20"/>
          <w:lang w:val="en-US"/>
        </w:rPr>
        <w:t xml:space="preserve">Background Checks as </w:t>
      </w:r>
      <w:r w:rsidRPr="00327E74">
        <w:rPr>
          <w:rFonts w:ascii="Verdana" w:hAnsi="Verdana"/>
          <w:sz w:val="20"/>
          <w:lang w:val="en-US"/>
        </w:rPr>
        <w:t>permitted by law.</w:t>
      </w:r>
    </w:p>
    <w:p w14:paraId="17B09FEC" w14:textId="77777777" w:rsidR="00431B74" w:rsidRDefault="00431B74" w:rsidP="00431B74">
      <w:pPr>
        <w:rPr>
          <w:rFonts w:ascii="Verdana" w:hAnsi="Verdana"/>
          <w:sz w:val="20"/>
          <w:lang w:val="en-US"/>
        </w:rPr>
      </w:pPr>
    </w:p>
    <w:p w14:paraId="6DF3CE97" w14:textId="77777777" w:rsidR="00431B74" w:rsidRDefault="00431B74" w:rsidP="00431B74">
      <w:pPr>
        <w:rPr>
          <w:rFonts w:ascii="Verdana" w:hAnsi="Verdana"/>
          <w:sz w:val="20"/>
          <w:lang w:val="en-US"/>
        </w:rPr>
      </w:pPr>
    </w:p>
    <w:p w14:paraId="3D4956FD" w14:textId="77777777" w:rsidR="00431B74" w:rsidRDefault="00431B74" w:rsidP="00431B74">
      <w:pPr>
        <w:rPr>
          <w:rFonts w:ascii="Verdana" w:hAnsi="Verdana"/>
          <w:b/>
          <w:sz w:val="20"/>
          <w:lang w:val="en-US"/>
        </w:rPr>
      </w:pPr>
      <w:r w:rsidRPr="00F33C90">
        <w:rPr>
          <w:rFonts w:ascii="Verdana" w:hAnsi="Verdana"/>
          <w:b/>
          <w:sz w:val="20"/>
          <w:lang w:val="en-US"/>
        </w:rPr>
        <w:t>How We Use the Personal Information We Collect</w:t>
      </w:r>
    </w:p>
    <w:p w14:paraId="419B038C" w14:textId="77777777" w:rsidR="00431B74" w:rsidRPr="00F33C90" w:rsidRDefault="00431B74" w:rsidP="00431B74">
      <w:pPr>
        <w:rPr>
          <w:rFonts w:ascii="Verdana" w:hAnsi="Verdana"/>
          <w:b/>
          <w:sz w:val="20"/>
          <w:lang w:val="en-US"/>
        </w:rPr>
      </w:pPr>
    </w:p>
    <w:p w14:paraId="72E3F151" w14:textId="77777777" w:rsidR="00431B74" w:rsidRDefault="00431B74" w:rsidP="00431B74">
      <w:pPr>
        <w:rPr>
          <w:rFonts w:ascii="Verdana" w:hAnsi="Verdana"/>
          <w:sz w:val="20"/>
          <w:lang w:val="en-US"/>
        </w:rPr>
      </w:pPr>
      <w:r>
        <w:rPr>
          <w:rFonts w:ascii="Verdana" w:hAnsi="Verdana"/>
          <w:sz w:val="20"/>
          <w:lang w:val="en-US"/>
        </w:rPr>
        <w:t>We may use your personal information for the following purposes:</w:t>
      </w:r>
    </w:p>
    <w:p w14:paraId="2DAD9A00" w14:textId="77777777" w:rsidR="00431B74" w:rsidRPr="000A7BE0" w:rsidRDefault="00431B74" w:rsidP="00431B74">
      <w:pPr>
        <w:pStyle w:val="ListParagraph"/>
        <w:numPr>
          <w:ilvl w:val="0"/>
          <w:numId w:val="8"/>
        </w:numPr>
        <w:rPr>
          <w:rFonts w:ascii="Verdana" w:hAnsi="Verdana"/>
          <w:sz w:val="20"/>
          <w:lang w:val="en-US"/>
        </w:rPr>
      </w:pPr>
      <w:r w:rsidRPr="000A7BE0">
        <w:rPr>
          <w:rFonts w:ascii="Verdana" w:hAnsi="Verdana"/>
          <w:sz w:val="20"/>
          <w:lang w:val="en-US"/>
        </w:rPr>
        <w:t>Processing your application for employment.  If you apply for employment with us, we may use the personal information you provide to evaluate and process your application, including interviewing you, making an offer of employment, and determining the terms and conditions of employment.  We may share your data with third parties in order to obtain pre-employment references and to obtain background employment checks.</w:t>
      </w:r>
    </w:p>
    <w:p w14:paraId="77F9C94A" w14:textId="77777777" w:rsidR="00431B74" w:rsidRDefault="00431B74" w:rsidP="00431B74">
      <w:pPr>
        <w:pStyle w:val="ListParagraph"/>
        <w:numPr>
          <w:ilvl w:val="0"/>
          <w:numId w:val="8"/>
        </w:numPr>
        <w:rPr>
          <w:rFonts w:ascii="Verdana" w:hAnsi="Verdana"/>
          <w:sz w:val="20"/>
          <w:lang w:val="en-US"/>
        </w:rPr>
      </w:pPr>
      <w:r w:rsidRPr="000A7BE0">
        <w:rPr>
          <w:rFonts w:ascii="Verdana" w:hAnsi="Verdana"/>
          <w:sz w:val="20"/>
          <w:lang w:val="en-US"/>
        </w:rPr>
        <w:t xml:space="preserve">For internal administration, </w:t>
      </w:r>
      <w:r>
        <w:rPr>
          <w:rFonts w:ascii="Verdana" w:hAnsi="Verdana"/>
          <w:sz w:val="20"/>
          <w:lang w:val="en-US"/>
        </w:rPr>
        <w:t xml:space="preserve">workforce and organization management and planning, </w:t>
      </w:r>
      <w:r w:rsidRPr="000A7BE0">
        <w:rPr>
          <w:rFonts w:ascii="Verdana" w:hAnsi="Verdana"/>
          <w:sz w:val="20"/>
          <w:lang w:val="en-US"/>
        </w:rPr>
        <w:t>facilities management</w:t>
      </w:r>
      <w:r>
        <w:rPr>
          <w:rFonts w:ascii="Verdana" w:hAnsi="Verdana"/>
          <w:sz w:val="20"/>
          <w:lang w:val="en-US"/>
        </w:rPr>
        <w:t xml:space="preserve">, </w:t>
      </w:r>
      <w:r w:rsidRPr="000A7BE0">
        <w:rPr>
          <w:rFonts w:ascii="Verdana" w:hAnsi="Verdana"/>
          <w:sz w:val="20"/>
          <w:lang w:val="en-US"/>
        </w:rPr>
        <w:t>system access</w:t>
      </w:r>
      <w:r>
        <w:rPr>
          <w:rFonts w:ascii="Verdana" w:hAnsi="Verdana"/>
          <w:sz w:val="20"/>
          <w:lang w:val="en-US"/>
        </w:rPr>
        <w:t>, public health and safety, performance management, and customer service management</w:t>
      </w:r>
      <w:r w:rsidRPr="000A7BE0">
        <w:rPr>
          <w:rFonts w:ascii="Verdana" w:hAnsi="Verdana"/>
          <w:sz w:val="20"/>
          <w:lang w:val="en-US"/>
        </w:rPr>
        <w:t xml:space="preserve">. Your information may be shared internally, </w:t>
      </w:r>
      <w:r>
        <w:rPr>
          <w:rFonts w:ascii="Verdana" w:hAnsi="Verdana"/>
          <w:sz w:val="20"/>
          <w:lang w:val="en-US"/>
        </w:rPr>
        <w:t xml:space="preserve">as well as with Unum’s service providers, </w:t>
      </w:r>
      <w:r w:rsidRPr="000A7BE0">
        <w:rPr>
          <w:rFonts w:ascii="Verdana" w:hAnsi="Verdana"/>
          <w:sz w:val="20"/>
          <w:lang w:val="en-US"/>
        </w:rPr>
        <w:t xml:space="preserve">for </w:t>
      </w:r>
      <w:r>
        <w:rPr>
          <w:rFonts w:ascii="Verdana" w:hAnsi="Verdana"/>
          <w:sz w:val="20"/>
          <w:lang w:val="en-US"/>
        </w:rPr>
        <w:t>human resources (</w:t>
      </w:r>
      <w:r w:rsidRPr="000A7BE0">
        <w:rPr>
          <w:rFonts w:ascii="Verdana" w:hAnsi="Verdana"/>
          <w:sz w:val="20"/>
          <w:lang w:val="en-US"/>
        </w:rPr>
        <w:t>HR</w:t>
      </w:r>
      <w:r>
        <w:rPr>
          <w:rFonts w:ascii="Verdana" w:hAnsi="Verdana"/>
          <w:sz w:val="20"/>
          <w:lang w:val="en-US"/>
        </w:rPr>
        <w:t>)</w:t>
      </w:r>
      <w:r w:rsidRPr="000A7BE0">
        <w:rPr>
          <w:rFonts w:ascii="Verdana" w:hAnsi="Verdana"/>
          <w:sz w:val="20"/>
          <w:lang w:val="en-US"/>
        </w:rPr>
        <w:t xml:space="preserve"> administration, </w:t>
      </w:r>
      <w:r>
        <w:rPr>
          <w:rFonts w:ascii="Verdana" w:hAnsi="Verdana"/>
          <w:sz w:val="20"/>
          <w:lang w:val="en-US"/>
        </w:rPr>
        <w:t xml:space="preserve">workforce and organizational management and planning, </w:t>
      </w:r>
      <w:r w:rsidRPr="000A7BE0">
        <w:rPr>
          <w:rFonts w:ascii="Verdana" w:hAnsi="Verdana"/>
          <w:sz w:val="20"/>
          <w:lang w:val="en-US"/>
        </w:rPr>
        <w:t xml:space="preserve">payroll processing, </w:t>
      </w:r>
      <w:r>
        <w:rPr>
          <w:rFonts w:ascii="Verdana" w:hAnsi="Verdana"/>
          <w:sz w:val="20"/>
          <w:lang w:val="en-US"/>
        </w:rPr>
        <w:t xml:space="preserve">and similar activities, as well as for providing </w:t>
      </w:r>
      <w:r w:rsidRPr="000A7BE0">
        <w:rPr>
          <w:rFonts w:ascii="Verdana" w:hAnsi="Verdana"/>
          <w:sz w:val="20"/>
          <w:lang w:val="en-US"/>
        </w:rPr>
        <w:t xml:space="preserve">access to </w:t>
      </w:r>
      <w:r>
        <w:rPr>
          <w:rFonts w:ascii="Verdana" w:hAnsi="Verdana"/>
          <w:sz w:val="20"/>
          <w:lang w:val="en-US"/>
        </w:rPr>
        <w:t xml:space="preserve">Unum’s </w:t>
      </w:r>
      <w:r w:rsidRPr="000A7BE0">
        <w:rPr>
          <w:rFonts w:ascii="Verdana" w:hAnsi="Verdana"/>
          <w:sz w:val="20"/>
          <w:lang w:val="en-US"/>
        </w:rPr>
        <w:t>facilities</w:t>
      </w:r>
      <w:r>
        <w:rPr>
          <w:rFonts w:ascii="Verdana" w:hAnsi="Verdana"/>
          <w:sz w:val="20"/>
          <w:lang w:val="en-US"/>
        </w:rPr>
        <w:t xml:space="preserve"> and</w:t>
      </w:r>
      <w:r w:rsidRPr="000A7BE0">
        <w:rPr>
          <w:rFonts w:ascii="Verdana" w:hAnsi="Verdana"/>
          <w:sz w:val="20"/>
          <w:lang w:val="en-US"/>
        </w:rPr>
        <w:t xml:space="preserve"> information systems.</w:t>
      </w:r>
      <w:r>
        <w:rPr>
          <w:rFonts w:ascii="Verdana" w:hAnsi="Verdana"/>
          <w:sz w:val="20"/>
          <w:lang w:val="en-US"/>
        </w:rPr>
        <w:t xml:space="preserve">  </w:t>
      </w:r>
    </w:p>
    <w:p w14:paraId="44AC0D2D" w14:textId="77777777" w:rsidR="00431B74" w:rsidRDefault="00431B74" w:rsidP="00431B74">
      <w:pPr>
        <w:pStyle w:val="ListParagraph"/>
        <w:numPr>
          <w:ilvl w:val="0"/>
          <w:numId w:val="8"/>
        </w:numPr>
        <w:rPr>
          <w:rFonts w:ascii="Verdana" w:hAnsi="Verdana"/>
          <w:sz w:val="20"/>
          <w:lang w:val="en-US"/>
        </w:rPr>
      </w:pPr>
      <w:r>
        <w:rPr>
          <w:rFonts w:ascii="Verdana" w:hAnsi="Verdana"/>
          <w:sz w:val="20"/>
          <w:lang w:val="en-US"/>
        </w:rPr>
        <w:t>For audit and compliance purposes</w:t>
      </w:r>
    </w:p>
    <w:p w14:paraId="17824367" w14:textId="77777777" w:rsidR="00431B74" w:rsidRPr="000A7BE0" w:rsidRDefault="00431B74" w:rsidP="00431B74">
      <w:pPr>
        <w:pStyle w:val="ListParagraph"/>
        <w:numPr>
          <w:ilvl w:val="0"/>
          <w:numId w:val="8"/>
        </w:numPr>
        <w:rPr>
          <w:rFonts w:ascii="Verdana" w:hAnsi="Verdana"/>
          <w:sz w:val="20"/>
          <w:lang w:val="en-US"/>
        </w:rPr>
      </w:pPr>
      <w:r>
        <w:rPr>
          <w:rFonts w:ascii="Verdana" w:hAnsi="Verdana"/>
          <w:sz w:val="20"/>
          <w:lang w:val="en-US"/>
        </w:rPr>
        <w:t xml:space="preserve">For emergency contacts.  </w:t>
      </w:r>
    </w:p>
    <w:p w14:paraId="7B6087E7" w14:textId="77777777" w:rsidR="00431B74" w:rsidRDefault="00431B74" w:rsidP="00431B74">
      <w:pPr>
        <w:pStyle w:val="ListParagraph"/>
        <w:numPr>
          <w:ilvl w:val="0"/>
          <w:numId w:val="8"/>
        </w:numPr>
        <w:rPr>
          <w:rFonts w:ascii="Verdana" w:hAnsi="Verdana"/>
          <w:sz w:val="20"/>
          <w:lang w:val="en-US"/>
        </w:rPr>
      </w:pPr>
      <w:r>
        <w:rPr>
          <w:rFonts w:ascii="Verdana" w:hAnsi="Verdana"/>
          <w:sz w:val="20"/>
          <w:lang w:val="en-US"/>
        </w:rPr>
        <w:t>To provide you with a</w:t>
      </w:r>
      <w:r w:rsidRPr="000A7BE0">
        <w:rPr>
          <w:rFonts w:ascii="Verdana" w:hAnsi="Verdana"/>
          <w:sz w:val="20"/>
          <w:lang w:val="en-US"/>
        </w:rPr>
        <w:t xml:space="preserve">ccess to certain benefits.  We </w:t>
      </w:r>
      <w:r>
        <w:rPr>
          <w:rFonts w:ascii="Verdana" w:hAnsi="Verdana"/>
          <w:sz w:val="20"/>
          <w:lang w:val="en-US"/>
        </w:rPr>
        <w:t>may</w:t>
      </w:r>
      <w:r w:rsidRPr="000A7BE0">
        <w:rPr>
          <w:rFonts w:ascii="Verdana" w:hAnsi="Verdana"/>
          <w:sz w:val="20"/>
          <w:lang w:val="en-US"/>
        </w:rPr>
        <w:t xml:space="preserve"> share your work contact details with third party providers for the purposes of eligibility validation where you opt to take advantage of certain benefits offered as part of your employment.</w:t>
      </w:r>
    </w:p>
    <w:p w14:paraId="414A9FAE" w14:textId="77777777" w:rsidR="00431B74" w:rsidRDefault="00431B74" w:rsidP="00431B74">
      <w:pPr>
        <w:pStyle w:val="ListParagraph"/>
        <w:numPr>
          <w:ilvl w:val="0"/>
          <w:numId w:val="8"/>
        </w:numPr>
        <w:rPr>
          <w:rFonts w:ascii="Verdana" w:hAnsi="Verdana"/>
          <w:sz w:val="20"/>
          <w:lang w:val="en-US"/>
        </w:rPr>
      </w:pPr>
      <w:r>
        <w:rPr>
          <w:rFonts w:ascii="Verdana" w:hAnsi="Verdana"/>
          <w:sz w:val="20"/>
          <w:lang w:val="en-US"/>
        </w:rPr>
        <w:t xml:space="preserve">For compliance with legal process.  We may, where permitted or required by law, disclose your personal information to third parties to comply with court orders, subpoenas, or other legal or regulatory requirements, to exercise our legal rights to defend against legal claims, or in the event of a merger, acquisition, reorganization, bankruptcy or similar event.  </w:t>
      </w:r>
    </w:p>
    <w:p w14:paraId="66DCAC4D" w14:textId="77777777" w:rsidR="00431B74" w:rsidRPr="000A7BE0" w:rsidRDefault="00431B74" w:rsidP="00431B74">
      <w:pPr>
        <w:pStyle w:val="ListParagraph"/>
        <w:rPr>
          <w:rFonts w:ascii="Verdana" w:hAnsi="Verdana"/>
          <w:sz w:val="20"/>
          <w:lang w:val="en-US"/>
        </w:rPr>
      </w:pPr>
    </w:p>
    <w:p w14:paraId="3ACAFADD" w14:textId="77777777" w:rsidR="00431B74" w:rsidRDefault="00431B74" w:rsidP="00431B74">
      <w:pPr>
        <w:rPr>
          <w:rFonts w:ascii="Verdana" w:hAnsi="Verdana"/>
          <w:sz w:val="20"/>
          <w:lang w:val="en-US"/>
        </w:rPr>
      </w:pPr>
    </w:p>
    <w:p w14:paraId="1806B18D" w14:textId="77777777" w:rsidR="00431B74" w:rsidRPr="00327E74" w:rsidRDefault="00431B74" w:rsidP="00431B74">
      <w:pPr>
        <w:rPr>
          <w:rFonts w:ascii="Verdana" w:hAnsi="Verdana"/>
          <w:sz w:val="20"/>
          <w:lang w:val="en-US"/>
        </w:rPr>
      </w:pPr>
    </w:p>
    <w:p w14:paraId="53D629B7" w14:textId="77777777" w:rsidR="00431B74" w:rsidRPr="002146CA" w:rsidRDefault="00431B74" w:rsidP="00431B74">
      <w:pPr>
        <w:rPr>
          <w:rFonts w:ascii="Verdana" w:hAnsi="Verdana"/>
          <w:b/>
          <w:sz w:val="20"/>
          <w:lang w:val="en-US"/>
        </w:rPr>
      </w:pPr>
      <w:r w:rsidRPr="002146CA">
        <w:rPr>
          <w:rFonts w:ascii="Verdana" w:hAnsi="Verdana"/>
          <w:b/>
          <w:sz w:val="20"/>
          <w:lang w:val="en-US"/>
        </w:rPr>
        <w:t xml:space="preserve">For More Information </w:t>
      </w:r>
    </w:p>
    <w:p w14:paraId="5A0B33DC" w14:textId="77777777" w:rsidR="00431B74" w:rsidRPr="00327E74" w:rsidRDefault="00431B74" w:rsidP="00431B74">
      <w:pPr>
        <w:rPr>
          <w:rFonts w:ascii="Verdana" w:hAnsi="Verdana"/>
          <w:sz w:val="20"/>
          <w:lang w:val="en-US"/>
        </w:rPr>
      </w:pPr>
    </w:p>
    <w:p w14:paraId="7AD16BB7" w14:textId="77777777" w:rsidR="00431B74" w:rsidRPr="00327E74" w:rsidRDefault="00431B74" w:rsidP="00431B74">
      <w:pPr>
        <w:rPr>
          <w:rFonts w:ascii="Verdana" w:hAnsi="Verdana"/>
          <w:sz w:val="20"/>
          <w:lang w:val="en-US"/>
        </w:rPr>
      </w:pPr>
      <w:r w:rsidRPr="00327E74">
        <w:rPr>
          <w:rFonts w:ascii="Verdana" w:hAnsi="Verdana"/>
          <w:sz w:val="20"/>
          <w:lang w:val="en-US"/>
        </w:rPr>
        <w:t>For more information on how we process your information for employment</w:t>
      </w:r>
      <w:r>
        <w:rPr>
          <w:rFonts w:ascii="Verdana" w:hAnsi="Verdana"/>
          <w:sz w:val="20"/>
          <w:lang w:val="en-US"/>
        </w:rPr>
        <w:t>-related</w:t>
      </w:r>
      <w:r w:rsidRPr="00327E74">
        <w:rPr>
          <w:rFonts w:ascii="Verdana" w:hAnsi="Verdana"/>
          <w:sz w:val="20"/>
          <w:lang w:val="en-US"/>
        </w:rPr>
        <w:t xml:space="preserve"> purposes, please contact the Privacy Office at </w:t>
      </w:r>
      <w:hyperlink r:id="rId5" w:history="1">
        <w:r w:rsidRPr="00327E74">
          <w:rPr>
            <w:rStyle w:val="Hyperlink"/>
            <w:rFonts w:ascii="Verdana" w:hAnsi="Verdana"/>
            <w:sz w:val="20"/>
            <w:lang w:val="en-US"/>
          </w:rPr>
          <w:t>privacy@unum.com</w:t>
        </w:r>
      </w:hyperlink>
      <w:r w:rsidRPr="00327E74">
        <w:rPr>
          <w:rFonts w:ascii="Verdana" w:hAnsi="Verdana"/>
          <w:sz w:val="20"/>
          <w:lang w:val="en-US"/>
        </w:rPr>
        <w:t xml:space="preserve">. </w:t>
      </w:r>
    </w:p>
    <w:p w14:paraId="4F1E41CB" w14:textId="77777777" w:rsidR="00431B74" w:rsidRPr="00327E74" w:rsidRDefault="00431B74" w:rsidP="00431B74">
      <w:pPr>
        <w:rPr>
          <w:rFonts w:ascii="Verdana" w:hAnsi="Verdana"/>
          <w:sz w:val="20"/>
          <w:lang w:val="en-US"/>
        </w:rPr>
      </w:pPr>
    </w:p>
    <w:p w14:paraId="5A8D1E55" w14:textId="77777777" w:rsidR="00EA386F" w:rsidRPr="00431B74" w:rsidRDefault="00EA386F" w:rsidP="00431B74">
      <w:bookmarkStart w:id="1" w:name="_GoBack"/>
      <w:bookmarkEnd w:id="1"/>
    </w:p>
    <w:sectPr w:rsidR="00EA386F" w:rsidRPr="00431B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84CC"/>
    <w:multiLevelType w:val="singleLevel"/>
    <w:tmpl w:val="2C1E8B77"/>
    <w:lvl w:ilvl="0">
      <w:numFmt w:val="decimal"/>
      <w:lvlText w:val="•"/>
      <w:lvlJc w:val="left"/>
      <w:pPr>
        <w:ind w:left="0" w:firstLine="0"/>
      </w:pPr>
    </w:lvl>
  </w:abstractNum>
  <w:abstractNum w:abstractNumId="1" w15:restartNumberingAfterBreak="0">
    <w:nsid w:val="2AF6A995"/>
    <w:multiLevelType w:val="singleLevel"/>
    <w:tmpl w:val="911A8BF0"/>
    <w:lvl w:ilvl="0">
      <w:numFmt w:val="decimal"/>
      <w:lvlText w:val="•"/>
      <w:lvlJc w:val="left"/>
      <w:pPr>
        <w:ind w:left="0" w:firstLine="0"/>
      </w:pPr>
    </w:lvl>
  </w:abstractNum>
  <w:abstractNum w:abstractNumId="2" w15:restartNumberingAfterBreak="0">
    <w:nsid w:val="2BA5076B"/>
    <w:multiLevelType w:val="hybridMultilevel"/>
    <w:tmpl w:val="724C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23853"/>
    <w:multiLevelType w:val="hybridMultilevel"/>
    <w:tmpl w:val="0014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num>
  <w:num w:numId="3">
    <w:abstractNumId w:val="0"/>
    <w:lvlOverride w:ilvl="0"/>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4"/>
    <w:rsid w:val="00431B74"/>
    <w:rsid w:val="00EA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5FF6"/>
  <w15:chartTrackingRefBased/>
  <w15:docId w15:val="{7565E405-0BE0-4669-9A6F-7131F5B8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1B74"/>
    <w:pPr>
      <w:spacing w:after="0" w:line="240" w:lineRule="auto"/>
    </w:pPr>
    <w:rPr>
      <w:rFonts w:ascii="Garamond" w:eastAsia="Times New Roman" w:hAnsi="Garamond"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31B74"/>
    <w:rPr>
      <w:color w:val="0563C1" w:themeColor="hyperlink"/>
      <w:u w:val="single"/>
    </w:rPr>
  </w:style>
  <w:style w:type="paragraph" w:styleId="CommentText">
    <w:name w:val="annotation text"/>
    <w:basedOn w:val="Normal"/>
    <w:link w:val="CommentTextChar"/>
    <w:unhideWhenUsed/>
    <w:rsid w:val="00431B74"/>
    <w:rPr>
      <w:sz w:val="20"/>
    </w:rPr>
  </w:style>
  <w:style w:type="character" w:customStyle="1" w:styleId="CommentTextChar">
    <w:name w:val="Comment Text Char"/>
    <w:basedOn w:val="DefaultParagraphFont"/>
    <w:link w:val="CommentText"/>
    <w:rsid w:val="00431B74"/>
    <w:rPr>
      <w:rFonts w:ascii="Garamond" w:eastAsia="Times New Roman" w:hAnsi="Garamond" w:cs="Times New Roman"/>
      <w:sz w:val="20"/>
      <w:szCs w:val="20"/>
      <w:lang w:val="en-GB"/>
    </w:rPr>
  </w:style>
  <w:style w:type="paragraph" w:styleId="ListParagraph">
    <w:name w:val="List Paragraph"/>
    <w:basedOn w:val="Normal"/>
    <w:uiPriority w:val="34"/>
    <w:qFormat/>
    <w:rsid w:val="00431B74"/>
    <w:pPr>
      <w:ind w:left="720"/>
      <w:contextualSpacing/>
    </w:pPr>
  </w:style>
  <w:style w:type="character" w:styleId="CommentReference">
    <w:name w:val="annotation reference"/>
    <w:basedOn w:val="DefaultParagraphFont"/>
    <w:unhideWhenUsed/>
    <w:rsid w:val="00431B74"/>
    <w:rPr>
      <w:sz w:val="16"/>
      <w:szCs w:val="16"/>
    </w:rPr>
  </w:style>
  <w:style w:type="paragraph" w:styleId="BalloonText">
    <w:name w:val="Balloon Text"/>
    <w:basedOn w:val="Normal"/>
    <w:link w:val="BalloonTextChar"/>
    <w:uiPriority w:val="99"/>
    <w:semiHidden/>
    <w:unhideWhenUsed/>
    <w:rsid w:val="00431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B7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34553">
      <w:bodyDiv w:val="1"/>
      <w:marLeft w:val="0"/>
      <w:marRight w:val="0"/>
      <w:marTop w:val="0"/>
      <w:marBottom w:val="0"/>
      <w:divBdr>
        <w:top w:val="none" w:sz="0" w:space="0" w:color="auto"/>
        <w:left w:val="none" w:sz="0" w:space="0" w:color="auto"/>
        <w:bottom w:val="none" w:sz="0" w:space="0" w:color="auto"/>
        <w:right w:val="none" w:sz="0" w:space="0" w:color="auto"/>
      </w:divBdr>
      <w:divsChild>
        <w:div w:id="1025211797">
          <w:marLeft w:val="0"/>
          <w:marRight w:val="0"/>
          <w:marTop w:val="0"/>
          <w:marBottom w:val="0"/>
          <w:divBdr>
            <w:top w:val="none" w:sz="0" w:space="0" w:color="auto"/>
            <w:left w:val="none" w:sz="0" w:space="0" w:color="auto"/>
            <w:bottom w:val="none" w:sz="0" w:space="0" w:color="auto"/>
            <w:right w:val="none" w:sz="0" w:space="0" w:color="auto"/>
          </w:divBdr>
          <w:divsChild>
            <w:div w:id="15665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unu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Zigtema, Steven</dc:creator>
  <cp:keywords/>
  <dc:description/>
  <cp:lastModifiedBy>Zigtema, Steven</cp:lastModifiedBy>
  <cp:revision>1</cp:revision>
  <dcterms:created xsi:type="dcterms:W3CDTF">2019-12-30T19:06:00Z</dcterms:created>
  <dcterms:modified xsi:type="dcterms:W3CDTF">2019-12-30T19:09:00Z</dcterms:modified>
</cp:coreProperties>
</file>